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2CD" w:rsidRDefault="007732CD" w:rsidP="007732CD">
      <w:pPr>
        <w:pStyle w:val="a4"/>
        <w:jc w:val="center"/>
        <w:rPr>
          <w:rFonts w:cs="FrankRuehl"/>
          <w:noProof w:val="0"/>
          <w:sz w:val="28"/>
          <w:szCs w:val="28"/>
          <w:rtl/>
        </w:rPr>
      </w:pPr>
      <w:r>
        <w:rPr>
          <w:rFonts w:cs="FrankRuehl"/>
          <w:sz w:val="28"/>
          <w:szCs w:val="28"/>
        </w:rPr>
        <w:drawing>
          <wp:inline distT="0" distB="0" distL="0" distR="0" wp14:anchorId="311CDC08" wp14:editId="3B31EF6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7732CD" w:rsidTr="00A461E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7732CD" w:rsidRPr="00F038D8" w:rsidRDefault="007732CD" w:rsidP="00A461E1">
                <w:pPr>
                  <w:pStyle w:val="a4"/>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באילת</w:t>
                </w:r>
              </w:p>
            </w:tc>
          </w:sdtContent>
        </w:sdt>
      </w:tr>
      <w:tr w:rsidR="007732CD" w:rsidTr="00A461E1">
        <w:trPr>
          <w:trHeight w:val="337"/>
          <w:jc w:val="center"/>
        </w:trPr>
        <w:tc>
          <w:tcPr>
            <w:tcW w:w="5047" w:type="dxa"/>
          </w:tcPr>
          <w:p w:rsidR="007732CD" w:rsidRDefault="007732CD" w:rsidP="00A461E1">
            <w:pPr>
              <w:rPr>
                <w:b/>
                <w:bCs/>
                <w:noProof w:val="0"/>
                <w:sz w:val="26"/>
                <w:szCs w:val="26"/>
                <w:rtl/>
              </w:rPr>
            </w:pPr>
          </w:p>
        </w:tc>
        <w:tc>
          <w:tcPr>
            <w:tcW w:w="3674" w:type="dxa"/>
          </w:tcPr>
          <w:p w:rsidR="007732CD" w:rsidRDefault="007732CD" w:rsidP="00A461E1">
            <w:pPr>
              <w:pStyle w:val="a4"/>
              <w:jc w:val="right"/>
              <w:rPr>
                <w:b/>
                <w:bCs/>
                <w:noProof w:val="0"/>
                <w:sz w:val="26"/>
                <w:szCs w:val="26"/>
                <w:rtl/>
              </w:rPr>
            </w:pPr>
          </w:p>
        </w:tc>
      </w:tr>
      <w:tr w:rsidR="007732CD" w:rsidTr="00A461E1">
        <w:trPr>
          <w:trHeight w:val="665"/>
          <w:jc w:val="center"/>
        </w:trPr>
        <w:tc>
          <w:tcPr>
            <w:tcW w:w="8721" w:type="dxa"/>
            <w:gridSpan w:val="2"/>
          </w:tcPr>
          <w:p w:rsidR="007732CD" w:rsidRDefault="007732CD" w:rsidP="007732CD">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56961-08-21 </w:t>
            </w:r>
            <w:bookmarkEnd w:id="0"/>
            <w:r>
              <w:rPr>
                <w:b/>
                <w:bCs/>
                <w:noProof w:val="0"/>
                <w:sz w:val="26"/>
                <w:szCs w:val="26"/>
                <w:rtl/>
              </w:rPr>
              <w:t>ס</w:t>
            </w:r>
            <w:r>
              <w:rPr>
                <w:rFonts w:hint="cs"/>
                <w:b/>
                <w:bCs/>
                <w:noProof w:val="0"/>
                <w:sz w:val="26"/>
                <w:szCs w:val="26"/>
                <w:rtl/>
              </w:rPr>
              <w:t>.</w:t>
            </w:r>
            <w:r>
              <w:rPr>
                <w:b/>
                <w:bCs/>
                <w:noProof w:val="0"/>
                <w:sz w:val="26"/>
                <w:szCs w:val="26"/>
                <w:rtl/>
              </w:rPr>
              <w:t>ז נ' ז</w:t>
            </w:r>
            <w:r>
              <w:rPr>
                <w:rFonts w:hint="cs"/>
                <w:b/>
                <w:bCs/>
                <w:noProof w:val="0"/>
                <w:sz w:val="26"/>
                <w:szCs w:val="26"/>
                <w:rtl/>
              </w:rPr>
              <w:t>.</w:t>
            </w:r>
          </w:p>
          <w:p w:rsidR="007732CD" w:rsidRPr="007B7765" w:rsidRDefault="007732CD" w:rsidP="00A461E1">
            <w:pPr>
              <w:rPr>
                <w:b/>
                <w:bCs/>
                <w:noProof w:val="0"/>
                <w:sz w:val="2"/>
                <w:szCs w:val="2"/>
                <w:rtl/>
              </w:rPr>
            </w:pPr>
          </w:p>
          <w:p w:rsidR="007732CD" w:rsidRDefault="007732CD" w:rsidP="00A461E1">
            <w:pPr>
              <w:rPr>
                <w:sz w:val="20"/>
                <w:szCs w:val="20"/>
                <w:rtl/>
              </w:rPr>
            </w:pPr>
            <w:r>
              <w:rPr>
                <w:rFonts w:hint="cs"/>
                <w:rtl/>
              </w:rPr>
              <w:t xml:space="preserve">                           </w:t>
            </w:r>
            <w:r>
              <w:rPr>
                <w:rFonts w:hint="cs"/>
                <w:sz w:val="20"/>
                <w:szCs w:val="20"/>
                <w:rtl/>
              </w:rPr>
              <w:t xml:space="preserve">                                       </w:t>
            </w:r>
          </w:p>
          <w:p w:rsidR="007732CD" w:rsidRPr="00E1068A" w:rsidRDefault="007732CD" w:rsidP="00A461E1">
            <w:pPr>
              <w:rPr>
                <w:sz w:val="20"/>
                <w:szCs w:val="20"/>
                <w:rtl/>
              </w:rPr>
            </w:pPr>
          </w:p>
        </w:tc>
      </w:tr>
    </w:tbl>
    <w:p w:rsidR="00B67AD2" w:rsidRPr="007732CD" w:rsidRDefault="00B67AD2" w:rsidP="00B67AD2">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B67AD2" w:rsidTr="00A461E1">
        <w:trPr>
          <w:trHeight w:val="295"/>
          <w:jc w:val="center"/>
        </w:trPr>
        <w:tc>
          <w:tcPr>
            <w:tcW w:w="5049" w:type="dxa"/>
            <w:gridSpan w:val="3"/>
          </w:tcPr>
          <w:p w:rsidR="00B67AD2" w:rsidRDefault="00B67AD2" w:rsidP="00A461E1">
            <w:pPr>
              <w:suppressLineNumbers/>
              <w:rPr>
                <w:rFonts w:ascii="Arial" w:hAnsi="Arial"/>
                <w:b/>
                <w:bCs/>
                <w:noProof w:val="0"/>
                <w:sz w:val="26"/>
                <w:szCs w:val="26"/>
                <w:rtl/>
              </w:rPr>
            </w:pPr>
          </w:p>
          <w:p w:rsidR="00B67AD2" w:rsidRDefault="00B67AD2" w:rsidP="00A461E1">
            <w:pPr>
              <w:suppressLineNumbers/>
              <w:rPr>
                <w:rFonts w:ascii="Arial" w:hAnsi="Arial"/>
                <w:b/>
                <w:bCs/>
                <w:noProof w:val="0"/>
                <w:sz w:val="26"/>
                <w:szCs w:val="26"/>
                <w:rtl/>
              </w:rPr>
            </w:pPr>
          </w:p>
        </w:tc>
        <w:tc>
          <w:tcPr>
            <w:tcW w:w="3771" w:type="dxa"/>
          </w:tcPr>
          <w:p w:rsidR="00B67AD2" w:rsidRDefault="007732CD" w:rsidP="00A461E1">
            <w:pPr>
              <w:suppressLineNumbers/>
              <w:rPr>
                <w:rFonts w:ascii="Arial" w:hAnsi="Arial"/>
                <w:b/>
                <w:bCs/>
                <w:noProof w:val="0"/>
                <w:sz w:val="26"/>
                <w:szCs w:val="26"/>
                <w:rtl/>
              </w:rPr>
            </w:pPr>
            <w:r>
              <w:rPr>
                <w:rFonts w:cs="FrankRuehl"/>
                <w:sz w:val="28"/>
                <w:szCs w:val="28"/>
                <w:rtl/>
              </w:rPr>
              <mc:AlternateContent>
                <mc:Choice Requires="wps">
                  <w:drawing>
                    <wp:anchor distT="0" distB="0" distL="114300" distR="114300" simplePos="0" relativeHeight="251658240" behindDoc="0" locked="0" layoutInCell="1" allowOverlap="1">
                      <wp:simplePos x="0" y="0"/>
                      <wp:positionH relativeFrom="margin">
                        <wp:posOffset>-4513048</wp:posOffset>
                      </wp:positionH>
                      <wp:positionV relativeFrom="margin">
                        <wp:posOffset>2936426</wp:posOffset>
                      </wp:positionV>
                      <wp:extent cx="3615742" cy="158634"/>
                      <wp:effectExtent l="0" t="0" r="0" b="0"/>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3615742" cy="158634"/>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732CD" w:rsidRDefault="007732CD" w:rsidP="007732CD">
                                  <w:pPr>
                                    <w:pStyle w:val="NormalWeb"/>
                                    <w:bidi/>
                                    <w:spacing w:before="0" w:beforeAutospacing="0" w:after="0" w:afterAutospacing="0"/>
                                    <w:jc w:val="cente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355.35pt;margin-top:231.2pt;width:284.7pt;height:12.5pt;rotation:-45;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" filled="f" stroked="f">
                      <v:stroke joinstyle="round"/>
                      <o:lock v:ext="edit" aspectratio="t" shapetype="t"/>
                      <v:textbox>
                        <w:txbxContent>
                          <w:p w:rsidR="007732CD" w:rsidRDefault="007732CD" w:rsidP="007732CD">
                            <w:pPr>
                              <w:pStyle w:val="NormalWeb"/>
                              <w:bidi/>
                              <w:spacing w:before="0" w:beforeAutospacing="0" w:after="0" w:afterAutospacing="0"/>
                              <w:jc w:val="center"/>
                            </w:pPr>
                          </w:p>
                        </w:txbxContent>
                      </v:textbox>
                      <w10:wrap anchorx="margin" anchory="margin"/>
                    </v:shape>
                  </w:pict>
                </mc:Fallback>
              </mc:AlternateContent>
            </w:r>
            <w:r w:rsidR="00B67AD2">
              <w:rPr>
                <w:rFonts w:ascii="Arial" w:hAnsi="Arial"/>
                <w:b/>
                <w:bCs/>
                <w:noProof w:val="0"/>
                <w:sz w:val="26"/>
                <w:szCs w:val="26"/>
                <w:rtl/>
              </w:rPr>
              <w:t>מספר בקשה:</w:t>
            </w:r>
            <w:sdt>
              <w:sdtPr>
                <w:rPr>
                  <w:rtl/>
                </w:rPr>
                <w:alias w:val="1193"/>
                <w:tag w:val="1193"/>
                <w:id w:val="-636028727"/>
                <w:text w:multiLine="1"/>
              </w:sdtPr>
              <w:sdtEndPr/>
              <w:sdtContent>
                <w:r w:rsidR="00B67AD2">
                  <w:rPr>
                    <w:rFonts w:ascii="Arial" w:hAnsi="Arial"/>
                    <w:b/>
                    <w:bCs/>
                    <w:noProof w:val="0"/>
                    <w:sz w:val="32"/>
                    <w:szCs w:val="32"/>
                    <w:rtl/>
                  </w:rPr>
                  <w:t>39</w:t>
                </w:r>
              </w:sdtContent>
            </w:sdt>
          </w:p>
        </w:tc>
      </w:tr>
      <w:tr w:rsidR="00B67AD2" w:rsidRPr="001405E0" w:rsidTr="00A461E1">
        <w:trPr>
          <w:jc w:val="center"/>
        </w:trPr>
        <w:tc>
          <w:tcPr>
            <w:tcW w:w="743" w:type="dxa"/>
          </w:tcPr>
          <w:p w:rsidR="00B67AD2" w:rsidRPr="001405E0" w:rsidRDefault="00B67AD2" w:rsidP="00A461E1">
            <w:pPr>
              <w:suppressLineNumbers/>
              <w:jc w:val="both"/>
              <w:rPr>
                <w:rFonts w:ascii="Arial" w:hAnsi="Arial"/>
                <w:b/>
                <w:bCs/>
                <w:sz w:val="26"/>
                <w:szCs w:val="26"/>
                <w:rtl/>
              </w:rPr>
            </w:pPr>
            <w:r w:rsidRPr="001405E0">
              <w:rPr>
                <w:rFonts w:ascii="Arial" w:hAnsi="Arial" w:hint="cs"/>
                <w:b/>
                <w:bCs/>
                <w:sz w:val="26"/>
                <w:szCs w:val="26"/>
                <w:rtl/>
              </w:rPr>
              <w:t>ב</w:t>
            </w:r>
            <w:r w:rsidRPr="001405E0">
              <w:rPr>
                <w:rFonts w:ascii="Arial" w:hAnsi="Arial"/>
                <w:b/>
                <w:bCs/>
                <w:sz w:val="26"/>
                <w:szCs w:val="26"/>
                <w:rtl/>
              </w:rPr>
              <w:t xml:space="preserve">פני </w:t>
            </w:r>
          </w:p>
        </w:tc>
        <w:tc>
          <w:tcPr>
            <w:tcW w:w="8077" w:type="dxa"/>
            <w:gridSpan w:val="3"/>
          </w:tcPr>
          <w:p w:rsidR="00B67AD2" w:rsidRPr="001405E0" w:rsidRDefault="00B67AD2" w:rsidP="007732CD">
            <w:pPr>
              <w:suppressLineNumbers/>
              <w:rPr>
                <w:rFonts w:ascii="Arial" w:hAnsi="Arial" w:cs="FrankRuehl"/>
                <w:sz w:val="26"/>
                <w:szCs w:val="26"/>
                <w:highlight w:val="yellow"/>
              </w:rPr>
            </w:pPr>
            <w:r w:rsidRPr="001405E0">
              <w:rPr>
                <w:rFonts w:ascii="Arial" w:hAnsi="Arial" w:hint="cs"/>
                <w:b/>
                <w:bCs/>
                <w:sz w:val="26"/>
                <w:szCs w:val="26"/>
                <w:rtl/>
              </w:rPr>
              <w:t>כב' סגן הנשיא, השופט מרדכי (מוטי) לוי</w:t>
            </w:r>
          </w:p>
        </w:tc>
      </w:tr>
      <w:tr w:rsidR="00B67AD2" w:rsidTr="00A461E1">
        <w:trPr>
          <w:jc w:val="center"/>
        </w:trPr>
        <w:tc>
          <w:tcPr>
            <w:tcW w:w="3249" w:type="dxa"/>
            <w:gridSpan w:val="2"/>
          </w:tcPr>
          <w:p w:rsidR="00B67AD2" w:rsidRDefault="00B67AD2" w:rsidP="00A461E1">
            <w:pPr>
              <w:suppressLineNumbers/>
              <w:rPr>
                <w:rFonts w:ascii="Arial" w:hAnsi="Arial"/>
                <w:b/>
                <w:bCs/>
                <w:noProof w:val="0"/>
                <w:sz w:val="26"/>
                <w:szCs w:val="26"/>
              </w:rPr>
            </w:pPr>
          </w:p>
          <w:p w:rsidR="00B67AD2" w:rsidRDefault="00B67AD2" w:rsidP="00A461E1">
            <w:pPr>
              <w:suppressLineNumbers/>
              <w:rPr>
                <w:rFonts w:ascii="Arial" w:hAnsi="Arial"/>
                <w:b/>
                <w:bCs/>
                <w:noProof w:val="0"/>
                <w:sz w:val="26"/>
                <w:szCs w:val="26"/>
                <w:rtl/>
              </w:rPr>
            </w:pPr>
            <w:r>
              <w:rPr>
                <w:rFonts w:ascii="Arial" w:hAnsi="Arial"/>
                <w:b/>
                <w:bCs/>
                <w:noProof w:val="0"/>
                <w:sz w:val="26"/>
                <w:szCs w:val="26"/>
                <w:rtl/>
              </w:rPr>
              <w:t>מבקש</w:t>
            </w:r>
          </w:p>
        </w:tc>
        <w:tc>
          <w:tcPr>
            <w:tcW w:w="5571" w:type="dxa"/>
            <w:gridSpan w:val="2"/>
          </w:tcPr>
          <w:p w:rsidR="00B67AD2" w:rsidRDefault="00B67AD2" w:rsidP="00A461E1">
            <w:pPr>
              <w:suppressLineNumbers/>
              <w:rPr>
                <w:rFonts w:ascii="Arial" w:hAnsi="Arial"/>
                <w:b/>
                <w:bCs/>
                <w:noProof w:val="0"/>
                <w:sz w:val="26"/>
                <w:szCs w:val="26"/>
                <w:rtl/>
              </w:rPr>
            </w:pPr>
          </w:p>
          <w:p w:rsidR="00B67AD2" w:rsidRDefault="00B67AD2" w:rsidP="007732CD">
            <w:pPr>
              <w:suppressLineNumbers/>
              <w:rPr>
                <w:b/>
                <w:bCs/>
                <w:noProof w:val="0"/>
                <w:sz w:val="26"/>
                <w:szCs w:val="26"/>
                <w:rtl/>
              </w:rPr>
            </w:pPr>
            <w:r>
              <w:rPr>
                <w:rFonts w:ascii="Arial" w:hAnsi="Arial"/>
                <w:b/>
                <w:bCs/>
                <w:noProof w:val="0"/>
                <w:sz w:val="26"/>
                <w:szCs w:val="26"/>
                <w:rtl/>
              </w:rPr>
              <w:t>א</w:t>
            </w:r>
            <w:r w:rsidR="007732CD">
              <w:rPr>
                <w:rFonts w:ascii="Arial" w:hAnsi="Arial" w:hint="cs"/>
                <w:b/>
                <w:bCs/>
                <w:noProof w:val="0"/>
                <w:sz w:val="26"/>
                <w:szCs w:val="26"/>
                <w:rtl/>
              </w:rPr>
              <w:t>.</w:t>
            </w:r>
            <w:r>
              <w:rPr>
                <w:rFonts w:ascii="Arial" w:hAnsi="Arial"/>
                <w:b/>
                <w:bCs/>
                <w:noProof w:val="0"/>
                <w:sz w:val="26"/>
                <w:szCs w:val="26"/>
                <w:rtl/>
              </w:rPr>
              <w:t>ז</w:t>
            </w:r>
            <w:r w:rsidR="007732CD">
              <w:rPr>
                <w:rFonts w:ascii="Arial" w:hAnsi="Arial" w:hint="cs"/>
                <w:b/>
                <w:bCs/>
                <w:noProof w:val="0"/>
                <w:sz w:val="26"/>
                <w:szCs w:val="26"/>
                <w:rtl/>
              </w:rPr>
              <w:t>.</w:t>
            </w:r>
          </w:p>
          <w:p w:rsidR="00B67AD2" w:rsidRPr="001405E0" w:rsidRDefault="00B67AD2" w:rsidP="00A461E1">
            <w:pPr>
              <w:suppressLineNumbers/>
              <w:rPr>
                <w:noProof w:val="0"/>
              </w:rPr>
            </w:pPr>
            <w:r>
              <w:rPr>
                <w:rFonts w:hint="cs"/>
                <w:noProof w:val="0"/>
                <w:rtl/>
              </w:rPr>
              <w:t xml:space="preserve">מיוצג ע"י עו"ד מוטי יוסף. </w:t>
            </w:r>
          </w:p>
        </w:tc>
      </w:tr>
      <w:tr w:rsidR="00B67AD2" w:rsidTr="00A461E1">
        <w:trPr>
          <w:jc w:val="center"/>
        </w:trPr>
        <w:tc>
          <w:tcPr>
            <w:tcW w:w="8820" w:type="dxa"/>
            <w:gridSpan w:val="4"/>
          </w:tcPr>
          <w:p w:rsidR="00B67AD2" w:rsidRDefault="00B67AD2" w:rsidP="00A461E1">
            <w:pPr>
              <w:suppressLineNumbers/>
              <w:rPr>
                <w:rFonts w:ascii="Arial" w:hAnsi="Arial"/>
                <w:b/>
                <w:bCs/>
                <w:noProof w:val="0"/>
                <w:sz w:val="26"/>
                <w:szCs w:val="26"/>
                <w:rtl/>
              </w:rPr>
            </w:pPr>
          </w:p>
          <w:p w:rsidR="00B67AD2" w:rsidRDefault="00B67AD2" w:rsidP="00A461E1">
            <w:pPr>
              <w:suppressLineNumbers/>
              <w:jc w:val="center"/>
              <w:rPr>
                <w:rFonts w:ascii="Arial" w:hAnsi="Arial"/>
                <w:b/>
                <w:bCs/>
                <w:noProof w:val="0"/>
                <w:sz w:val="26"/>
                <w:szCs w:val="26"/>
              </w:rPr>
            </w:pPr>
            <w:r>
              <w:rPr>
                <w:rFonts w:ascii="Arial" w:hAnsi="Arial"/>
                <w:b/>
                <w:bCs/>
                <w:noProof w:val="0"/>
                <w:sz w:val="26"/>
                <w:szCs w:val="26"/>
                <w:rtl/>
              </w:rPr>
              <w:t>נגד</w:t>
            </w:r>
          </w:p>
        </w:tc>
      </w:tr>
      <w:tr w:rsidR="00B67AD2" w:rsidTr="00A461E1">
        <w:trPr>
          <w:jc w:val="center"/>
        </w:trPr>
        <w:tc>
          <w:tcPr>
            <w:tcW w:w="3249" w:type="dxa"/>
            <w:gridSpan w:val="2"/>
          </w:tcPr>
          <w:p w:rsidR="00B67AD2" w:rsidRDefault="00B67AD2" w:rsidP="00A461E1">
            <w:pPr>
              <w:suppressLineNumbers/>
              <w:rPr>
                <w:rFonts w:ascii="Arial" w:hAnsi="Arial"/>
                <w:b/>
                <w:bCs/>
                <w:noProof w:val="0"/>
                <w:sz w:val="26"/>
                <w:szCs w:val="26"/>
                <w:rtl/>
              </w:rPr>
            </w:pPr>
          </w:p>
          <w:p w:rsidR="00B67AD2" w:rsidRDefault="00B67AD2" w:rsidP="00A461E1">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ה</w:t>
            </w:r>
          </w:p>
        </w:tc>
        <w:tc>
          <w:tcPr>
            <w:tcW w:w="5571" w:type="dxa"/>
            <w:gridSpan w:val="2"/>
          </w:tcPr>
          <w:p w:rsidR="00B67AD2" w:rsidRDefault="00B67AD2" w:rsidP="00A461E1">
            <w:pPr>
              <w:suppressLineNumbers/>
              <w:rPr>
                <w:rFonts w:ascii="Arial" w:hAnsi="Arial"/>
                <w:b/>
                <w:bCs/>
                <w:noProof w:val="0"/>
                <w:sz w:val="26"/>
                <w:szCs w:val="26"/>
                <w:rtl/>
              </w:rPr>
            </w:pPr>
          </w:p>
          <w:p w:rsidR="00B67AD2" w:rsidRDefault="00B67AD2" w:rsidP="007732CD">
            <w:pPr>
              <w:suppressLineNumbers/>
              <w:rPr>
                <w:rFonts w:ascii="Arial" w:hAnsi="Arial"/>
                <w:b/>
                <w:bCs/>
                <w:noProof w:val="0"/>
                <w:sz w:val="26"/>
                <w:szCs w:val="26"/>
                <w:rtl/>
              </w:rPr>
            </w:pPr>
            <w:r>
              <w:rPr>
                <w:rFonts w:ascii="Arial" w:hAnsi="Arial"/>
                <w:b/>
                <w:bCs/>
                <w:noProof w:val="0"/>
                <w:sz w:val="26"/>
                <w:szCs w:val="26"/>
                <w:rtl/>
              </w:rPr>
              <w:t>ש</w:t>
            </w:r>
            <w:r w:rsidR="007732CD">
              <w:rPr>
                <w:rFonts w:ascii="Arial" w:hAnsi="Arial" w:hint="cs"/>
                <w:b/>
                <w:bCs/>
                <w:noProof w:val="0"/>
                <w:sz w:val="26"/>
                <w:szCs w:val="26"/>
                <w:rtl/>
              </w:rPr>
              <w:t>.</w:t>
            </w:r>
            <w:r>
              <w:rPr>
                <w:rFonts w:ascii="Arial" w:hAnsi="Arial"/>
                <w:b/>
                <w:bCs/>
                <w:noProof w:val="0"/>
                <w:sz w:val="26"/>
                <w:szCs w:val="26"/>
                <w:rtl/>
              </w:rPr>
              <w:t>ס</w:t>
            </w:r>
            <w:r w:rsidR="007732CD">
              <w:rPr>
                <w:rFonts w:ascii="Arial" w:hAnsi="Arial" w:hint="cs"/>
                <w:b/>
                <w:bCs/>
                <w:noProof w:val="0"/>
                <w:sz w:val="26"/>
                <w:szCs w:val="26"/>
                <w:rtl/>
              </w:rPr>
              <w:t>.</w:t>
            </w:r>
            <w:r>
              <w:rPr>
                <w:rFonts w:ascii="Arial" w:hAnsi="Arial"/>
                <w:b/>
                <w:bCs/>
                <w:noProof w:val="0"/>
                <w:sz w:val="26"/>
                <w:szCs w:val="26"/>
                <w:rtl/>
              </w:rPr>
              <w:t xml:space="preserve"> ז</w:t>
            </w:r>
            <w:r w:rsidR="007732CD">
              <w:rPr>
                <w:rFonts w:ascii="Arial" w:hAnsi="Arial" w:hint="cs"/>
                <w:b/>
                <w:bCs/>
                <w:noProof w:val="0"/>
                <w:sz w:val="26"/>
                <w:szCs w:val="26"/>
                <w:rtl/>
              </w:rPr>
              <w:t>.</w:t>
            </w:r>
          </w:p>
          <w:p w:rsidR="00B67AD2" w:rsidRPr="001405E0" w:rsidRDefault="00B67AD2" w:rsidP="00A461E1">
            <w:pPr>
              <w:suppressLineNumbers/>
              <w:rPr>
                <w:noProof w:val="0"/>
                <w:rtl/>
              </w:rPr>
            </w:pPr>
            <w:r>
              <w:rPr>
                <w:rFonts w:hint="cs"/>
                <w:b/>
                <w:bCs/>
                <w:noProof w:val="0"/>
                <w:sz w:val="26"/>
                <w:szCs w:val="26"/>
                <w:rtl/>
              </w:rPr>
              <w:t xml:space="preserve"> </w:t>
            </w:r>
            <w:r>
              <w:rPr>
                <w:rFonts w:hint="cs"/>
                <w:noProof w:val="0"/>
                <w:rtl/>
              </w:rPr>
              <w:t>מיוצגת ע"י עו"ד יגאל וייס</w:t>
            </w:r>
          </w:p>
        </w:tc>
      </w:tr>
      <w:tr w:rsidR="00B67AD2" w:rsidTr="00A461E1">
        <w:trPr>
          <w:jc w:val="center"/>
        </w:trPr>
        <w:tc>
          <w:tcPr>
            <w:tcW w:w="8820" w:type="dxa"/>
            <w:gridSpan w:val="4"/>
          </w:tcPr>
          <w:p w:rsidR="00B67AD2" w:rsidRDefault="00B67AD2" w:rsidP="00A461E1">
            <w:pPr>
              <w:suppressLineNumbers/>
              <w:rPr>
                <w:rFonts w:ascii="Arial" w:hAnsi="Arial"/>
                <w:b/>
                <w:bCs/>
                <w:noProof w:val="0"/>
                <w:sz w:val="26"/>
                <w:szCs w:val="26"/>
                <w:rtl/>
              </w:rPr>
            </w:pPr>
          </w:p>
        </w:tc>
      </w:tr>
    </w:tbl>
    <w:p w:rsidR="00B67AD2" w:rsidRDefault="00B67AD2" w:rsidP="00B67AD2">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67AD2" w:rsidRPr="00DE1E7D" w:rsidTr="00A461E1">
        <w:trPr>
          <w:jc w:val="center"/>
        </w:trPr>
        <w:tc>
          <w:tcPr>
            <w:tcW w:w="8820" w:type="dxa"/>
          </w:tcPr>
          <w:p w:rsidR="00B67AD2" w:rsidRDefault="00B67AD2" w:rsidP="00A461E1">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B67AD2" w:rsidRPr="00D44968" w:rsidRDefault="00B67AD2" w:rsidP="00A461E1">
            <w:pPr>
              <w:bidi w:val="0"/>
              <w:jc w:val="center"/>
              <w:rPr>
                <w:rFonts w:ascii="Arial" w:hAnsi="Arial"/>
                <w:b/>
                <w:bCs/>
                <w:noProof w:val="0"/>
                <w:sz w:val="28"/>
                <w:szCs w:val="28"/>
                <w:u w:val="single"/>
              </w:rPr>
            </w:pPr>
          </w:p>
        </w:tc>
      </w:tr>
    </w:tbl>
    <w:p w:rsidR="00B67AD2" w:rsidRDefault="00B67AD2" w:rsidP="00B67AD2">
      <w:pPr>
        <w:spacing w:line="360" w:lineRule="auto"/>
        <w:ind w:left="720" w:hanging="720"/>
        <w:jc w:val="both"/>
        <w:rPr>
          <w:rFonts w:ascii="David" w:hAnsi="David"/>
          <w:rtl/>
        </w:rPr>
      </w:pPr>
      <w:bookmarkStart w:id="1" w:name="NGCSBookmark"/>
      <w:bookmarkEnd w:id="1"/>
      <w:r w:rsidRPr="001405E0">
        <w:rPr>
          <w:rFonts w:ascii="David" w:hAnsi="David" w:hint="cs"/>
          <w:rtl/>
        </w:rPr>
        <w:t>1.</w:t>
      </w:r>
      <w:r>
        <w:rPr>
          <w:rFonts w:ascii="David" w:hAnsi="David"/>
          <w:rtl/>
        </w:rPr>
        <w:tab/>
      </w:r>
      <w:r w:rsidRPr="001405E0">
        <w:rPr>
          <w:rFonts w:ascii="David" w:hAnsi="David"/>
          <w:rtl/>
        </w:rPr>
        <w:t>לפני בקשה למתן החלטה מיום 14/6/23. בבקשתו עתר המבקש למתן החלטה בהסדרי שהות קבועים שלו עם ילדיו. בבקשתו הלין המבקש על כך שבחלוף פרק זמן של כ- 4 חודשים טרם ניתנה החלטה בעניין הסדרי השהות חרף שתי בקשות שהגיש.  בבקשתו הלין שעד כה רבה הפגיעה בו שבשל אי מתן ההחלטה הוא "</w:t>
      </w:r>
      <w:r w:rsidRPr="001405E0">
        <w:rPr>
          <w:rFonts w:ascii="David" w:hAnsi="David"/>
          <w:b/>
          <w:bCs/>
          <w:rtl/>
        </w:rPr>
        <w:t>נתון לחסדי המשיבה. לבקשה צורף תסקיר של מכון אור שלום שנערך ביום 4/6/23 והמבקש ביקש לאמצו. הבקשה הועברה לעמדת המשיבה וזו השיבה ביום 20/6/23 שהיא "מסכימה הכל תוך שמירת זכויותיה</w:t>
      </w:r>
      <w:r w:rsidRPr="001405E0">
        <w:rPr>
          <w:rFonts w:ascii="David" w:hAnsi="David"/>
          <w:rtl/>
        </w:rPr>
        <w:t>".</w:t>
      </w:r>
    </w:p>
    <w:p w:rsidR="00B67AD2" w:rsidRPr="001405E0" w:rsidRDefault="00B67AD2" w:rsidP="00B67AD2">
      <w:pPr>
        <w:spacing w:line="360" w:lineRule="auto"/>
        <w:ind w:left="720" w:hanging="720"/>
        <w:jc w:val="both"/>
        <w:rPr>
          <w:rFonts w:ascii="David" w:hAnsi="David"/>
        </w:rPr>
      </w:pPr>
    </w:p>
    <w:p w:rsidR="00B67AD2" w:rsidRDefault="00B67AD2" w:rsidP="00B67AD2">
      <w:pPr>
        <w:spacing w:line="360" w:lineRule="auto"/>
        <w:ind w:left="720" w:hanging="720"/>
        <w:jc w:val="both"/>
        <w:rPr>
          <w:rFonts w:ascii="David" w:hAnsi="David"/>
          <w:rtl/>
        </w:rPr>
      </w:pPr>
      <w:r>
        <w:rPr>
          <w:rFonts w:ascii="David" w:hAnsi="David" w:hint="cs"/>
          <w:rtl/>
        </w:rPr>
        <w:t>2.</w:t>
      </w:r>
      <w:r>
        <w:rPr>
          <w:rFonts w:ascii="David" w:hAnsi="David" w:hint="cs"/>
          <w:rtl/>
        </w:rPr>
        <w:tab/>
      </w:r>
      <w:r>
        <w:rPr>
          <w:rFonts w:ascii="David" w:hAnsi="David"/>
          <w:rtl/>
        </w:rPr>
        <w:t>יכול הייתי לסיים החלטתי בקצרה ברם, טרם מתן החלטה בבקשה לגופה  משעה שהבקשה אינה ראויה בעיניי, לאור סגנונה הפומפוזי המנותק מהמציאות מצאתי להעיר מספר הערות.</w:t>
      </w:r>
    </w:p>
    <w:p w:rsidR="00B67AD2" w:rsidRDefault="00B67AD2" w:rsidP="00B67AD2">
      <w:pPr>
        <w:spacing w:line="360" w:lineRule="auto"/>
        <w:ind w:left="720"/>
        <w:jc w:val="both"/>
        <w:rPr>
          <w:rFonts w:ascii="David" w:hAnsi="David"/>
          <w:rtl/>
        </w:rPr>
      </w:pPr>
      <w:r>
        <w:rPr>
          <w:rFonts w:ascii="David" w:hAnsi="David"/>
          <w:rtl/>
        </w:rPr>
        <w:t>בסעיף 4 לבקשה כתב בא כוחו של המבקש (הבקשה לא נתמכה בתצהיר) כך: "</w:t>
      </w:r>
      <w:r>
        <w:rPr>
          <w:rFonts w:ascii="David" w:hAnsi="David"/>
          <w:b/>
          <w:bCs/>
          <w:rtl/>
        </w:rPr>
        <w:t>מאז ההחלטה חלפו להם למעלה מ-4 חודשים  ואין כל החלטה. המבקש נתון לחסדי המשיבה בכל הנוגע להסדרי שהות עם ילדיו, וכל זאת בשל העובדה שבימ"ש אינו נותן החלט, מסיבה שאינה ברורה למבקש</w:t>
      </w:r>
      <w:r>
        <w:rPr>
          <w:rFonts w:ascii="David" w:hAnsi="David"/>
          <w:rtl/>
        </w:rPr>
        <w:t xml:space="preserve">." </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לקורא סעיף זה עולה תמונה לא נוחה, לשון המעטה, של בית משפט שאינו מבין שהוא עוסק בדיני נפשות ומזניח את זכויות האב בקשריו עם ילדיו ופוגע בקשר. נבחן את המציאות.</w:t>
      </w:r>
    </w:p>
    <w:p w:rsidR="00B67AD2" w:rsidRDefault="00B67AD2" w:rsidP="00B67AD2">
      <w:pPr>
        <w:spacing w:line="360" w:lineRule="auto"/>
        <w:jc w:val="both"/>
        <w:rPr>
          <w:rFonts w:ascii="David" w:hAnsi="David"/>
          <w:rtl/>
        </w:rPr>
      </w:pPr>
    </w:p>
    <w:p w:rsidR="00B67AD2" w:rsidRDefault="00B67AD2" w:rsidP="007732CD">
      <w:pPr>
        <w:spacing w:line="360" w:lineRule="auto"/>
        <w:ind w:left="720" w:hanging="720"/>
        <w:jc w:val="both"/>
        <w:rPr>
          <w:rFonts w:ascii="David" w:hAnsi="David"/>
          <w:rtl/>
        </w:rPr>
      </w:pPr>
      <w:r>
        <w:rPr>
          <w:rFonts w:ascii="David" w:hAnsi="David" w:hint="cs"/>
          <w:rtl/>
        </w:rPr>
        <w:t>3.</w:t>
      </w:r>
      <w:r>
        <w:rPr>
          <w:rFonts w:ascii="David" w:hAnsi="David" w:hint="cs"/>
          <w:rtl/>
        </w:rPr>
        <w:tab/>
      </w:r>
      <w:r>
        <w:rPr>
          <w:rFonts w:ascii="David" w:hAnsi="David"/>
          <w:rtl/>
        </w:rPr>
        <w:t>ראש וראשון במנותק מהחלטה כלשהי יודגש שמדובר בהורים וילדיהם המתגוררים בקיבוץ.</w:t>
      </w:r>
    </w:p>
    <w:p w:rsidR="007732CD" w:rsidRDefault="007732CD" w:rsidP="007732CD">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4.</w:t>
      </w:r>
      <w:r>
        <w:rPr>
          <w:rFonts w:ascii="David" w:hAnsi="David"/>
          <w:rtl/>
        </w:rPr>
        <w:tab/>
        <w:t xml:space="preserve">ביום 14.01.23 ניתנה החלטתי הקובעת הסדרי שהות בין האב לקטינים – הסדרי שהות שוויוניים בין ההורים (זולת לינה ביום חמישי אחת לשבועיים עת לנים הילדים עם האב הוא ישיבם לבית האם בשעה 19:30). (להלן- </w:t>
      </w:r>
      <w:r w:rsidRPr="00172E68">
        <w:rPr>
          <w:rFonts w:ascii="David" w:hAnsi="David"/>
          <w:b/>
          <w:bCs/>
          <w:rtl/>
        </w:rPr>
        <w:t>ההחלטה</w:t>
      </w:r>
      <w:r>
        <w:rPr>
          <w:rFonts w:ascii="David" w:hAnsi="David"/>
          <w:rtl/>
        </w:rPr>
        <w:t>).</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בסיומה של ההחלטה ביקשתי את עמדת הצדדים "</w:t>
      </w:r>
      <w:r>
        <w:rPr>
          <w:rFonts w:ascii="David" w:hAnsi="David"/>
          <w:b/>
          <w:bCs/>
          <w:rtl/>
        </w:rPr>
        <w:t>עמדה ממוקדת ועניינית מה טעם לא ייסגר התיק</w:t>
      </w:r>
      <w:r>
        <w:rPr>
          <w:rFonts w:ascii="David" w:hAnsi="David"/>
          <w:rtl/>
        </w:rPr>
        <w:t>". ביום 26.01.23 השיב בא כוחו של המבקש שאין מקום לסגור את התיק "</w:t>
      </w:r>
      <w:r>
        <w:rPr>
          <w:rFonts w:ascii="David" w:hAnsi="David"/>
          <w:b/>
          <w:bCs/>
          <w:rtl/>
        </w:rPr>
        <w:t>בשל העובדה שטרם הסתיימו ההליכים בתיק זה במובן זה שלא נקבעו כל הסדרי שהות לצדדים הנוגעים לחופשות הקטינים בחגי ישראל, חופשות ממוסדות החינוך ויציאה לחו"ל</w:t>
      </w:r>
      <w:r>
        <w:rPr>
          <w:rFonts w:ascii="David" w:hAnsi="David"/>
          <w:rtl/>
        </w:rPr>
        <w:t xml:space="preserve">". </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אמור מעתה, וכפי התובנה העולה מתגובה זו שכבר באותו מועד קיבל המבקש את חלוקת הסדרי השהות כפי שקבעתי ולא הייתה לו כל תלונה עליהם. ובלשון אחר האב קיבל את הסדרי השהות שנקבעו בהחלטה והם טובים בעיניו.</w:t>
      </w:r>
    </w:p>
    <w:p w:rsidR="00B67AD2" w:rsidRDefault="00B67AD2" w:rsidP="00B67AD2">
      <w:pPr>
        <w:spacing w:line="360" w:lineRule="auto"/>
        <w:ind w:left="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5.</w:t>
      </w:r>
      <w:r>
        <w:rPr>
          <w:rFonts w:ascii="David" w:hAnsi="David" w:hint="cs"/>
          <w:rtl/>
        </w:rPr>
        <w:tab/>
      </w:r>
      <w:r>
        <w:rPr>
          <w:rFonts w:ascii="David" w:hAnsi="David"/>
          <w:rtl/>
        </w:rPr>
        <w:t>בהחלטה עוקבת מיום 04.02.23 הבעתי פליאה שההורים אינם יכולים להגיע להבנה בעניין חלוקת הזמנים ביחס לחופשות וחגים. באותו יום הוגשה עמדת האם אשר ביקשה לשנות את ההסדרים שנקבעו, וביום 08.02.23 התקיים דיון בשאלה זו</w:t>
      </w:r>
      <w:r>
        <w:rPr>
          <w:rFonts w:ascii="David" w:hAnsi="David" w:hint="cs"/>
          <w:rtl/>
        </w:rPr>
        <w:t>-</w:t>
      </w:r>
      <w:r>
        <w:rPr>
          <w:rFonts w:ascii="David" w:hAnsi="David"/>
          <w:rtl/>
        </w:rPr>
        <w:t xml:space="preserve">ויוזכר, כל זאת שעה שיש החלטה שקבעה את הסדרי השהות בין ההורים.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6.</w:t>
      </w:r>
      <w:r>
        <w:rPr>
          <w:rFonts w:ascii="David" w:hAnsi="David" w:hint="cs"/>
          <w:rtl/>
        </w:rPr>
        <w:tab/>
      </w:r>
      <w:r>
        <w:rPr>
          <w:rFonts w:ascii="David" w:hAnsi="David"/>
          <w:rtl/>
        </w:rPr>
        <w:t xml:space="preserve">מבלי להקדים את המאוחר ייאמר שבהמלצת מכון אור שלום אותה מבקש המבקש לאמץ, אין התייחסות לחגים וחופשות </w:t>
      </w:r>
      <w:r>
        <w:rPr>
          <w:rFonts w:ascii="David" w:hAnsi="David" w:hint="cs"/>
          <w:rtl/>
        </w:rPr>
        <w:t xml:space="preserve">- </w:t>
      </w:r>
      <w:r>
        <w:rPr>
          <w:rFonts w:ascii="David" w:hAnsi="David"/>
          <w:rtl/>
        </w:rPr>
        <w:t xml:space="preserve">הסיבה בשלה ביקש עורך הדין של האב שלא לסגור את התיק.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7.</w:t>
      </w:r>
      <w:r>
        <w:rPr>
          <w:rFonts w:ascii="David" w:hAnsi="David" w:hint="cs"/>
          <w:rtl/>
        </w:rPr>
        <w:tab/>
      </w:r>
      <w:r>
        <w:rPr>
          <w:rFonts w:ascii="David" w:hAnsi="David"/>
          <w:rtl/>
        </w:rPr>
        <w:t xml:space="preserve">הצדדים שעסוקים במריבה שלהם, לא הצליחו, גם לא בדיון, להגיע להבנות כאשר מדובר בדרישות מינוריות בלתי מובנות של החלפת יום כזה או אחר.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8.</w:t>
      </w:r>
      <w:r>
        <w:rPr>
          <w:rFonts w:ascii="David" w:hAnsi="David" w:hint="cs"/>
          <w:rtl/>
        </w:rPr>
        <w:tab/>
      </w:r>
      <w:r>
        <w:rPr>
          <w:rFonts w:ascii="David" w:hAnsi="David"/>
          <w:rtl/>
        </w:rPr>
        <w:t>כאמור, ביום 8/2/23 התקיים דיון בשאלת הסדרי השהות. בפתח הדיון טען בא כוחו של המבקש "</w:t>
      </w:r>
      <w:r>
        <w:rPr>
          <w:rFonts w:ascii="David" w:hAnsi="David"/>
          <w:b/>
          <w:bCs/>
          <w:rtl/>
        </w:rPr>
        <w:t>בית המשפט נתן החלטה, בדיון הקודם בית המשפט יפסיק את הדיון בגלל הצעקות שהיו פה, הלכנו, מה לעשות. בית המשפט נתן החלטה שמתייחסת להמלצות שהתקבלו הן על ידי האפוטרופא לדין וגם על ידי העו"ס שנתנה את התסקיר. בית המשפט נתן את זמני השהות בהתאם למה שהומלץ וביקש מאיתנו לשלוח הודעה האם אנו מוכנים שהתיק ייסגר, כתבתי שנותר לדון בשאלה של החופשות והחגים, וגם בנושא הזה יש המלצה שאומרת חצי חצי, לכן אני אומרת היום אנו יכולים לקבל פסק דין ולסיים את הכל, אבל אני מניח שחברתי, הרי היא הגישה שם חוות דעת נוספת, קראתי אותה, אני לא יודעת מי הגברת, חברתי צירפה איזה דוח של פסיכולוגית קלינית וכו'. בסופו של יום בית המשפט התייחס לגברת גונן, ולגברת סנאית בטש".</w:t>
      </w:r>
      <w:r>
        <w:rPr>
          <w:rFonts w:ascii="David" w:hAnsi="David"/>
          <w:rtl/>
        </w:rPr>
        <w:t xml:space="preserve">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lastRenderedPageBreak/>
        <w:t>9.</w:t>
      </w:r>
      <w:r>
        <w:rPr>
          <w:rFonts w:ascii="David" w:hAnsi="David" w:hint="cs"/>
          <w:rtl/>
        </w:rPr>
        <w:tab/>
      </w:r>
      <w:r>
        <w:rPr>
          <w:rFonts w:ascii="David" w:hAnsi="David"/>
          <w:rtl/>
        </w:rPr>
        <w:t xml:space="preserve">הנה כי כן בתיק החלטה המקובלת על האב היא לא שונתה והיא שרירה וקיימת. כאמור, נטען שהמבקש נתון לחסדי המשיבה הפכתי והפכתי בתיק ולא מצאתי ולו בקשה אחת בה טען המבקש שהוא נתון לחסדי המשיבה שההסדרים אינם ממולאים על ידי המשיבה או שעתר בשל הסיכול  של הסדרי השהות לחייב המשיבה לעמוד בתנאי ההחלטה.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10.</w:t>
      </w:r>
      <w:r>
        <w:rPr>
          <w:rFonts w:ascii="David" w:hAnsi="David" w:hint="cs"/>
          <w:rtl/>
        </w:rPr>
        <w:tab/>
      </w:r>
      <w:r>
        <w:rPr>
          <w:rFonts w:ascii="David" w:hAnsi="David"/>
          <w:rtl/>
        </w:rPr>
        <w:t xml:space="preserve">כפי שנטען בבקשה הוגשו שתי בקשות למתן החלטה: האחת, ביום 2/4/23 כשעניינה המרכזי חלוקת זמני שהות בפסח והחלטתי בבקשה זו ניתנה ביום 3/4/23.  הבקשה הנוספת זו מיום 30/4/23 בה עתר המבקש שוב למתן החלטה וטען בלאקוניות שאי מתן ההחלטה מקשה על הסדרי השהות של הילדים. ויתמה השואל הכיצד אי מתן ההחלטה לגבי חופשות הופך את המבקש לנתון לחסדיה של המשיבה?  מדוע לא הועלתה כל טענה על קושי במימוש החלטתי האמורה? כנראה למבקש פתרונים.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11.</w:t>
      </w:r>
      <w:r>
        <w:rPr>
          <w:rFonts w:ascii="David" w:hAnsi="David" w:hint="cs"/>
          <w:rtl/>
        </w:rPr>
        <w:tab/>
      </w:r>
      <w:r>
        <w:rPr>
          <w:rFonts w:ascii="David" w:hAnsi="David"/>
          <w:rtl/>
        </w:rPr>
        <w:t>יוזכר שוב כי ברקע קיימת החלטה על הסדרי השהות שלא שונתה, והיא שרירה וקיימת עד החלטה אחרת.  מקל וחומר שלצדדים קבוע דיון ליום 3/7/23.</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12.</w:t>
      </w:r>
      <w:r>
        <w:rPr>
          <w:rFonts w:ascii="David" w:hAnsi="David" w:hint="cs"/>
          <w:rtl/>
        </w:rPr>
        <w:tab/>
      </w:r>
      <w:r>
        <w:rPr>
          <w:rFonts w:ascii="David" w:hAnsi="David"/>
          <w:rtl/>
        </w:rPr>
        <w:t xml:space="preserve">אמור מעתה, שלא כצעקתה: הבקשה בסגנונה זה אינו ראוי לשון המעטה, והיא עשויה להוות  קיסם נוסף לליבוי המחלוקת בין הצדדים. (ראו לעניין זה איאן מקיאן </w:t>
      </w:r>
      <w:r>
        <w:rPr>
          <w:rFonts w:ascii="David" w:hAnsi="David"/>
          <w:u w:val="single"/>
          <w:rtl/>
        </w:rPr>
        <w:t>טובת הילד</w:t>
      </w:r>
      <w:r>
        <w:rPr>
          <w:rFonts w:ascii="David" w:hAnsi="David"/>
          <w:rtl/>
        </w:rPr>
        <w:t xml:space="preserve"> ( 2014) עמ' 122-121)).</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13.</w:t>
      </w:r>
      <w:r>
        <w:rPr>
          <w:rFonts w:ascii="David" w:hAnsi="David" w:hint="cs"/>
          <w:rtl/>
        </w:rPr>
        <w:tab/>
      </w:r>
      <w:r>
        <w:rPr>
          <w:rFonts w:ascii="David" w:hAnsi="David"/>
          <w:rtl/>
        </w:rPr>
        <w:t xml:space="preserve">אמנם נכון שטרם ניתנה החלטה ונכון שחלף זמן, אולם אין בעובדה זו כשלעצמה  אי מתן ההחלטה כל קשר לטענות המועלות בבקשה, אין באי מתן ההחלטה פגיעה ולו מזערית במבקש ובהסדרי השהות שלו עם הקטינים, בזכויותיו כאב, אשר הצדיקו בקשה בסגנון זה.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14.</w:t>
      </w:r>
      <w:r>
        <w:rPr>
          <w:rFonts w:ascii="David" w:hAnsi="David" w:hint="cs"/>
          <w:rtl/>
        </w:rPr>
        <w:tab/>
      </w:r>
      <w:r>
        <w:rPr>
          <w:rFonts w:ascii="David" w:hAnsi="David"/>
          <w:rtl/>
        </w:rPr>
        <w:t>בתסקיר מכון אור שלום נכתב:  "</w:t>
      </w:r>
      <w:r>
        <w:rPr>
          <w:rFonts w:ascii="David" w:hAnsi="David"/>
          <w:b/>
          <w:bCs/>
          <w:rtl/>
        </w:rPr>
        <w:t>כיום רואים את העוצמתיות של הקונפליקט ביחסים של ההורים על תפקודם של הילדים, השפעת הסיטואציה המורכבת ניכרת במצבם הרגשי של כל אחד מהילדים אשר חווים בלבול ומסגלים לעצמם תפקידים מרצים והגנתיים מול ההורים, כמו גם אי שקט אשר פוגע בהתפתחותם הרגשית</w:t>
      </w:r>
      <w:r>
        <w:rPr>
          <w:rFonts w:ascii="David" w:hAnsi="David"/>
          <w:rtl/>
        </w:rPr>
        <w:t xml:space="preserve">." </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 xml:space="preserve">דומני שמשפט זה הוא זה שצריך להיות לנגד עיני ההורים ולא התהיות התמוהות בהגשת בקשות כמו זו שהוגשה. ראוי שהמבקש כמו המשיבה, יתכנסו כדי לבחון איך הם ממשיכים לגדל את ילדיהם, ומבלי שהם ממשיכים ופוגעים בהתפתחותם. </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ביני לביני אינני מבין כיצד ההסדרים המומלצים של מכון אור שלום הדומים לאלו שאני קבעתי בהחלטה, או אלו שהומלצו בתסקיר של האגף לשירותים חברתיים של המועצה האזורית חבל אילות הערבה הדרומית (27/1/23) יביאו "</w:t>
      </w:r>
      <w:r>
        <w:rPr>
          <w:rFonts w:ascii="David" w:hAnsi="David"/>
          <w:b/>
          <w:bCs/>
          <w:rtl/>
        </w:rPr>
        <w:t>יותר שקט במערכת המשפחתית</w:t>
      </w:r>
      <w:r>
        <w:rPr>
          <w:rFonts w:ascii="David" w:hAnsi="David"/>
          <w:rtl/>
        </w:rPr>
        <w:t>", במיוחד לאור העובדה שנקבע בתסקיר "</w:t>
      </w:r>
      <w:r>
        <w:rPr>
          <w:rFonts w:ascii="David" w:hAnsi="David"/>
          <w:b/>
          <w:bCs/>
          <w:rtl/>
        </w:rPr>
        <w:t>נכון לעכשיו יש בניהם הסכמה חלקית</w:t>
      </w:r>
      <w:r>
        <w:rPr>
          <w:rFonts w:ascii="David" w:hAnsi="David"/>
          <w:rtl/>
        </w:rPr>
        <w:t>"</w:t>
      </w:r>
      <w:r>
        <w:rPr>
          <w:rFonts w:ascii="David" w:hAnsi="David"/>
          <w:b/>
          <w:bCs/>
          <w:rtl/>
        </w:rPr>
        <w:t>,</w:t>
      </w:r>
      <w:r>
        <w:rPr>
          <w:rFonts w:ascii="David" w:hAnsi="David"/>
          <w:rtl/>
        </w:rPr>
        <w:t xml:space="preserve"> ובעמדת האב כתב בא כוחה כי "</w:t>
      </w:r>
      <w:r>
        <w:rPr>
          <w:rFonts w:ascii="David" w:hAnsi="David"/>
          <w:b/>
          <w:bCs/>
          <w:rtl/>
        </w:rPr>
        <w:t>היא מסכימה, הכל תוך שמירת זכויותיה</w:t>
      </w:r>
      <w:r>
        <w:rPr>
          <w:rFonts w:ascii="David" w:hAnsi="David"/>
          <w:rtl/>
        </w:rPr>
        <w:t xml:space="preserve">". </w:t>
      </w:r>
    </w:p>
    <w:p w:rsidR="00B67AD2" w:rsidRDefault="00B67AD2" w:rsidP="00B67AD2">
      <w:pPr>
        <w:spacing w:line="360" w:lineRule="auto"/>
        <w:jc w:val="both"/>
        <w:rPr>
          <w:rFonts w:ascii="David" w:hAnsi="David"/>
          <w:rtl/>
        </w:rPr>
      </w:pPr>
    </w:p>
    <w:p w:rsidR="00B67AD2" w:rsidRDefault="00B67AD2" w:rsidP="00B67AD2">
      <w:pPr>
        <w:spacing w:line="360" w:lineRule="auto"/>
        <w:ind w:firstLine="720"/>
        <w:jc w:val="both"/>
        <w:rPr>
          <w:rFonts w:ascii="David" w:hAnsi="David"/>
          <w:rtl/>
        </w:rPr>
      </w:pPr>
      <w:r>
        <w:rPr>
          <w:rFonts w:ascii="David" w:hAnsi="David"/>
          <w:rtl/>
        </w:rPr>
        <w:lastRenderedPageBreak/>
        <w:t>השלום בין ההורים יבוא רק ברצותם בכך.</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 xml:space="preserve">לו היו ההורים רואים את תפקידם ההורי כפי שמצופה מהם כהורים, תיק זה יכול היה להיסגר כבר ביום 14.01.23 או בסמוך לכך, ולכן אין למבקש להלין אלא על עצמו ועל שותפתו להורות. </w:t>
      </w:r>
    </w:p>
    <w:p w:rsidR="00B67AD2" w:rsidRDefault="00B67AD2" w:rsidP="00B67AD2">
      <w:pPr>
        <w:spacing w:line="360" w:lineRule="auto"/>
        <w:jc w:val="both"/>
        <w:rPr>
          <w:rFonts w:ascii="David" w:hAnsi="David"/>
          <w:rtl/>
        </w:rPr>
      </w:pPr>
    </w:p>
    <w:p w:rsidR="00B67AD2" w:rsidRDefault="00B67AD2" w:rsidP="00B67AD2">
      <w:pPr>
        <w:spacing w:line="360" w:lineRule="auto"/>
        <w:ind w:left="720" w:hanging="720"/>
        <w:jc w:val="both"/>
        <w:rPr>
          <w:rFonts w:ascii="David" w:hAnsi="David"/>
          <w:rtl/>
        </w:rPr>
      </w:pPr>
      <w:r>
        <w:rPr>
          <w:rFonts w:ascii="David" w:hAnsi="David" w:hint="cs"/>
          <w:rtl/>
        </w:rPr>
        <w:t>15.</w:t>
      </w:r>
      <w:r>
        <w:rPr>
          <w:rFonts w:ascii="David" w:hAnsi="David" w:hint="cs"/>
          <w:rtl/>
        </w:rPr>
        <w:tab/>
      </w:r>
      <w:r>
        <w:rPr>
          <w:rFonts w:ascii="David" w:hAnsi="David"/>
          <w:rtl/>
        </w:rPr>
        <w:t>בשים לב להסכמה ולו חלקית, אני מאמץ את המלצות מכון אור שלום להסדרי שהות באמצע השבוע לרבות ההמלצות העוקבות לטבלה</w:t>
      </w:r>
      <w:r>
        <w:rPr>
          <w:rFonts w:ascii="David" w:hAnsi="David" w:hint="cs"/>
          <w:rtl/>
        </w:rPr>
        <w:t xml:space="preserve"> המחלקת את הימים להסדרי שהות.</w:t>
      </w:r>
      <w:r>
        <w:rPr>
          <w:rFonts w:ascii="David" w:hAnsi="David"/>
          <w:rtl/>
        </w:rPr>
        <w:t xml:space="preserve">  </w:t>
      </w:r>
    </w:p>
    <w:p w:rsidR="00B67AD2" w:rsidRDefault="00B67AD2" w:rsidP="00B67AD2">
      <w:pPr>
        <w:spacing w:line="360" w:lineRule="auto"/>
        <w:ind w:left="720" w:hanging="720"/>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 xml:space="preserve">משעה שאין כאמור, בחוות הדעת של מכון אור שלום התייחסות לחופשות וחגים אני מורה על חלוקה שוויונית של חופשות וחגים. חג שאותו יחגגו הילדים  עם הורה אחד בשנה נתונה בשנה העוקבת הילדים יחגגו אותו עם ההורה האחר וכך הלאה. </w:t>
      </w:r>
    </w:p>
    <w:p w:rsidR="00B67AD2" w:rsidRDefault="00B67AD2" w:rsidP="00B67AD2">
      <w:pPr>
        <w:spacing w:line="360" w:lineRule="auto"/>
        <w:jc w:val="both"/>
        <w:rPr>
          <w:rFonts w:ascii="David" w:hAnsi="David"/>
          <w:rtl/>
        </w:rPr>
      </w:pPr>
    </w:p>
    <w:p w:rsidR="00B67AD2" w:rsidRDefault="00B67AD2" w:rsidP="00B67AD2">
      <w:pPr>
        <w:spacing w:line="360" w:lineRule="auto"/>
        <w:ind w:firstLine="720"/>
        <w:jc w:val="both"/>
        <w:rPr>
          <w:rFonts w:ascii="David" w:hAnsi="David"/>
          <w:rtl/>
        </w:rPr>
      </w:pPr>
      <w:r>
        <w:rPr>
          <w:rFonts w:ascii="David" w:hAnsi="David"/>
          <w:rtl/>
        </w:rPr>
        <w:t>המודל לחגים להם חג וחול מועד הוא החלטתי מיום 3/4/23 לעניין חג הפסח בשנה זו.</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החופשה השנתית בקיץ, החופש הגדול, תתחלק בין ההורים מחצה ומחצה בתיאום ביניהם באופן שכל אחד מההורים ישהה שבוע עם הילדים.</w:t>
      </w:r>
    </w:p>
    <w:p w:rsidR="00B67AD2" w:rsidRDefault="00B67AD2" w:rsidP="00B67AD2">
      <w:pPr>
        <w:spacing w:line="360" w:lineRule="auto"/>
        <w:jc w:val="both"/>
        <w:rPr>
          <w:rFonts w:ascii="David" w:hAnsi="David"/>
          <w:rtl/>
        </w:rPr>
      </w:pPr>
    </w:p>
    <w:p w:rsidR="00B67AD2" w:rsidRDefault="00B67AD2" w:rsidP="00B67AD2">
      <w:pPr>
        <w:spacing w:line="360" w:lineRule="auto"/>
        <w:ind w:left="720"/>
        <w:jc w:val="both"/>
        <w:rPr>
          <w:rFonts w:ascii="David" w:hAnsi="David"/>
          <w:rtl/>
        </w:rPr>
      </w:pPr>
      <w:r>
        <w:rPr>
          <w:rFonts w:ascii="David" w:hAnsi="David"/>
          <w:rtl/>
        </w:rPr>
        <w:t>כל אחד מההורים  יהיה רשאי לצאת עם הילדים את הארץ, לטיול, ובלבד שיידע את ההורה האחר בדבר הנסיעה, מקומות השהייה ומספרי הטלפון ויאפשר שיחה טלפונית עם הילדים להורה הנשאר בארץ. ההורה היוצא עם הילדים יציג להורה הנשאר בארץ ביטוח בריאות לנוסעים לחו"ל לטובת כל תקופת הנסיעה.</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David" w:hAnsi="David"/>
          <w:rtl/>
        </w:rPr>
      </w:pPr>
      <w:r>
        <w:rPr>
          <w:rFonts w:ascii="David" w:hAnsi="David" w:hint="cs"/>
          <w:rtl/>
        </w:rPr>
        <w:t>16.</w:t>
      </w:r>
      <w:r>
        <w:rPr>
          <w:rFonts w:ascii="David" w:hAnsi="David" w:hint="cs"/>
          <w:rtl/>
        </w:rPr>
        <w:tab/>
      </w:r>
      <w:r>
        <w:rPr>
          <w:rFonts w:ascii="David" w:hAnsi="David"/>
          <w:rtl/>
        </w:rPr>
        <w:t xml:space="preserve">מתיר פרסום ההחלטה  בהשמטת </w:t>
      </w:r>
      <w:r>
        <w:rPr>
          <w:rFonts w:ascii="David" w:hAnsi="David" w:hint="cs"/>
          <w:rtl/>
        </w:rPr>
        <w:t xml:space="preserve">כל פרט </w:t>
      </w:r>
      <w:r>
        <w:rPr>
          <w:rFonts w:ascii="David" w:hAnsi="David"/>
          <w:rtl/>
        </w:rPr>
        <w:t>מזה</w:t>
      </w:r>
      <w:r>
        <w:rPr>
          <w:rFonts w:ascii="David" w:hAnsi="David" w:hint="cs"/>
          <w:rtl/>
        </w:rPr>
        <w:t>ה</w:t>
      </w:r>
      <w:r>
        <w:rPr>
          <w:rFonts w:ascii="David" w:hAnsi="David"/>
          <w:rtl/>
        </w:rPr>
        <w:t>.</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David" w:hAnsi="David"/>
          <w:rtl/>
        </w:rPr>
      </w:pPr>
      <w:r>
        <w:rPr>
          <w:rFonts w:ascii="David" w:hAnsi="David" w:hint="cs"/>
          <w:rtl/>
        </w:rPr>
        <w:t>17.</w:t>
      </w:r>
      <w:r>
        <w:rPr>
          <w:rFonts w:ascii="David" w:hAnsi="David" w:hint="cs"/>
          <w:rtl/>
        </w:rPr>
        <w:tab/>
        <w:t>אין צו להוצאות.</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David" w:hAnsi="David"/>
          <w:rtl/>
        </w:rPr>
      </w:pPr>
      <w:r>
        <w:rPr>
          <w:rFonts w:ascii="David" w:hAnsi="David" w:hint="cs"/>
          <w:rtl/>
        </w:rPr>
        <w:t>18.</w:t>
      </w:r>
      <w:r>
        <w:rPr>
          <w:rFonts w:ascii="David" w:hAnsi="David" w:hint="cs"/>
          <w:rtl/>
        </w:rPr>
        <w:tab/>
      </w:r>
      <w:r>
        <w:rPr>
          <w:rFonts w:ascii="David" w:hAnsi="David"/>
          <w:rtl/>
        </w:rPr>
        <w:t>תואיל המזכירות לשלוח ההחלטה לצדדים ולסגור תיק זה.</w:t>
      </w:r>
    </w:p>
    <w:p w:rsidR="00B67AD2" w:rsidRDefault="00B67AD2" w:rsidP="00B67AD2">
      <w:pPr>
        <w:spacing w:line="360" w:lineRule="auto"/>
        <w:jc w:val="both"/>
        <w:rPr>
          <w:rFonts w:ascii="David" w:hAnsi="David"/>
          <w:rtl/>
        </w:rPr>
      </w:pPr>
    </w:p>
    <w:p w:rsidR="00B67AD2" w:rsidRDefault="00B67AD2" w:rsidP="00B67AD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יוני 2023</w:t>
          </w:r>
        </w:sdtContent>
      </w:sdt>
      <w:r>
        <w:rPr>
          <w:rFonts w:ascii="Arial" w:hAnsi="Arial"/>
          <w:noProof w:val="0"/>
          <w:rtl/>
        </w:rPr>
        <w:t>, בהעדר הצדדים.</w:t>
      </w:r>
    </w:p>
    <w:p w:rsidR="00B67AD2" w:rsidRDefault="00CE5C23" w:rsidP="00B67AD2">
      <w:pPr>
        <w:tabs>
          <w:tab w:val="left" w:pos="2553"/>
        </w:tabs>
        <w:ind w:left="5040"/>
        <w:rPr>
          <w:rtl/>
        </w:rPr>
      </w:pPr>
      <w:sdt>
        <w:sdtPr>
          <w:rPr>
            <w:rFonts w:hint="cs"/>
            <w:rtl/>
          </w:rPr>
          <w:alias w:val="2045"/>
          <w:tag w:val="2045"/>
          <w:id w:val="740689340"/>
          <w:placeholder>
            <w:docPart w:val="D72AAD6E925B4CFA84477B612F794DDD"/>
          </w:placeholder>
          <w:showingPlcHdr/>
          <w:text w:multiLine="1"/>
        </w:sdtPr>
        <w:sdtEndPr/>
        <w:sdtContent>
          <w:r w:rsidR="00B67AD2">
            <w:rPr>
              <w:rFonts w:hint="cs"/>
              <w:rtl/>
            </w:rPr>
            <w:t xml:space="preserve">     </w:t>
          </w:r>
        </w:sdtContent>
      </w:sdt>
    </w:p>
    <w:p w:rsidR="00B67AD2" w:rsidRDefault="00B67AD2" w:rsidP="00B67AD2">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92171573"/>
        </w:sdtPr>
        <w:sdtEndPr/>
        <w:sdtContent>
          <w:r>
            <w:drawing>
              <wp:inline distT="0" distB="0" distL="0" distR="0" wp14:anchorId="1E893196" wp14:editId="104017BE">
                <wp:extent cx="2047874"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2047874" cy="1009649"/>
                        </a:xfrm>
                        <a:prstGeom prst="rect">
                          <a:avLst/>
                        </a:prstGeom>
                      </pic:spPr>
                    </pic:pic>
                  </a:graphicData>
                </a:graphic>
              </wp:inline>
            </w:drawing>
          </w:r>
        </w:sdtContent>
      </w:sdt>
    </w:p>
    <w:p w:rsidR="00B67AD2" w:rsidRDefault="00B67AD2" w:rsidP="00B67AD2">
      <w:pPr>
        <w:tabs>
          <w:tab w:val="left" w:pos="2553"/>
        </w:tabs>
        <w:rPr>
          <w:rFonts w:ascii="Arial" w:hAnsi="Arial"/>
          <w:noProof w:val="0"/>
          <w:rtl/>
        </w:rPr>
      </w:pPr>
    </w:p>
    <w:p w:rsidR="00F50FA8" w:rsidRDefault="00F50FA8"/>
    <w:sectPr w:rsidR="00F50FA8"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AD2"/>
    <w:rsid w:val="007732CD"/>
    <w:rsid w:val="00B67AD2"/>
    <w:rsid w:val="00C11DC6"/>
    <w:rsid w:val="00CE5C23"/>
    <w:rsid w:val="00F50F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48FA6-6D62-422F-97FF-78650A572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AD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67AD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732CD"/>
    <w:pPr>
      <w:tabs>
        <w:tab w:val="center" w:pos="4153"/>
        <w:tab w:val="right" w:pos="8306"/>
      </w:tabs>
    </w:pPr>
  </w:style>
  <w:style w:type="character" w:customStyle="1" w:styleId="a5">
    <w:name w:val="כותרת עליונה תו"/>
    <w:basedOn w:val="a0"/>
    <w:link w:val="a4"/>
    <w:rsid w:val="007732CD"/>
    <w:rPr>
      <w:rFonts w:ascii="Times New Roman" w:eastAsia="Times New Roman" w:hAnsi="Times New Roman" w:cs="David"/>
      <w:noProof/>
      <w:sz w:val="24"/>
      <w:szCs w:val="24"/>
    </w:rPr>
  </w:style>
  <w:style w:type="paragraph" w:styleId="NormalWeb">
    <w:name w:val="Normal (Web)"/>
    <w:basedOn w:val="a"/>
    <w:uiPriority w:val="99"/>
    <w:semiHidden/>
    <w:unhideWhenUsed/>
    <w:rsid w:val="007732CD"/>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2AAD6E925B4CFA84477B612F794DDD"/>
        <w:category>
          <w:name w:val="כללי"/>
          <w:gallery w:val="placeholder"/>
        </w:category>
        <w:types>
          <w:type w:val="bbPlcHdr"/>
        </w:types>
        <w:behaviors>
          <w:behavior w:val="content"/>
        </w:behaviors>
        <w:guid w:val="{2DBE5E37-74E2-4691-A9D2-A2F332E71877}"/>
      </w:docPartPr>
      <w:docPartBody>
        <w:p w:rsidR="00F61353" w:rsidRDefault="00454500" w:rsidP="00454500">
          <w:pPr>
            <w:pStyle w:val="D72AAD6E925B4CFA84477B612F794DDD"/>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00"/>
    <w:rsid w:val="00454500"/>
    <w:rsid w:val="00562439"/>
    <w:rsid w:val="00911FAB"/>
    <w:rsid w:val="00F613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72AAD6E925B4CFA84477B612F794DDD">
    <w:name w:val="D72AAD6E925B4CFA84477B612F794DDD"/>
    <w:rsid w:val="0045450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5595</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רותם כהן</cp:lastModifiedBy>
  <cp:revision>2</cp:revision>
  <dcterms:created xsi:type="dcterms:W3CDTF">2023-07-18T13:16:00Z</dcterms:created>
  <dcterms:modified xsi:type="dcterms:W3CDTF">2023-07-18T13:16:00Z</dcterms:modified>
</cp:coreProperties>
</file>